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741D0" w14:textId="77777777" w:rsidR="00FC3E96" w:rsidRDefault="00FC3E96">
      <w:pPr>
        <w:pBdr>
          <w:bottom w:val="single" w:sz="16" w:space="1" w:color="1D5C2E"/>
        </w:pBdr>
      </w:pPr>
    </w:p>
    <w:tbl>
      <w:tblPr>
        <w:tblStyle w:val="a"/>
        <w:tblW w:w="121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  <w:gridCol w:w="2638"/>
      </w:tblGrid>
      <w:tr w:rsidR="00FC3E96" w14:paraId="47376ED7" w14:textId="77777777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0" w:type="dxa"/>
              <w:bottom w:w="80" w:type="dxa"/>
              <w:right w:w="0" w:type="dxa"/>
            </w:tcMar>
          </w:tcPr>
          <w:p w14:paraId="6E84A818" w14:textId="77777777" w:rsidR="00FC3E96" w:rsidRDefault="00000000">
            <w:pPr>
              <w:spacing w:after="40"/>
              <w:rPr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bCs/>
                <w:color w:val="1D5C2E"/>
                <w:sz w:val="32"/>
                <w:szCs w:val="32"/>
              </w:rPr>
              <w:t>Premio de Arquitectura Prefabricada Industrializada con Biomateriales</w:t>
            </w:r>
          </w:p>
          <w:p w14:paraId="72319142" w14:textId="77777777" w:rsidR="00FC3E96" w:rsidRDefault="00000000">
            <w:r>
              <w:rPr>
                <w:rFonts w:ascii="Calibri" w:eastAsia="Calibri" w:hAnsi="Calibri" w:cs="Calibri"/>
                <w:color w:val="5A5A5A"/>
                <w:sz w:val="18"/>
                <w:szCs w:val="18"/>
              </w:rPr>
              <w:t>Edición 2026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tcMar>
              <w:top w:w="160" w:type="dxa"/>
              <w:left w:w="120" w:type="dxa"/>
              <w:bottom w:w="80" w:type="dxa"/>
              <w:right w:w="0" w:type="dxa"/>
            </w:tcMar>
            <w:vAlign w:val="bottom"/>
          </w:tcPr>
          <w:p w14:paraId="729E8A95" w14:textId="77777777" w:rsidR="00FC3E96" w:rsidRDefault="00FC3E96"/>
        </w:tc>
      </w:tr>
    </w:tbl>
    <w:p w14:paraId="34A3F98F" w14:textId="77777777" w:rsidR="00FC3E96" w:rsidRDefault="00000000">
      <w:pPr>
        <w:pBdr>
          <w:bottom w:val="single" w:sz="6" w:space="4" w:color="4A9E5C"/>
        </w:pBdr>
        <w:spacing w:before="80" w:after="200"/>
      </w:pPr>
      <w:r>
        <w:rPr>
          <w:rFonts w:ascii="Calibri" w:eastAsia="Calibri" w:hAnsi="Calibri" w:cs="Calibri"/>
          <w:smallCaps/>
          <w:color w:val="4A9E5C"/>
          <w:sz w:val="22"/>
          <w:szCs w:val="22"/>
        </w:rPr>
        <w:t>FICHA TÉCNICA DEL PROYECTO</w:t>
      </w:r>
      <w:r>
        <w:rPr>
          <w:rFonts w:ascii="Calibri" w:eastAsia="Calibri" w:hAnsi="Calibri" w:cs="Calibri"/>
          <w:i/>
          <w:iCs/>
          <w:color w:val="AAAAAA"/>
          <w:sz w:val="17"/>
          <w:szCs w:val="17"/>
        </w:rPr>
        <w:t xml:space="preserve">        * Campos obligatorios</w:t>
      </w:r>
    </w:p>
    <w:tbl>
      <w:tblPr>
        <w:tblStyle w:val="a0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0"/>
        <w:gridCol w:w="6238"/>
      </w:tblGrid>
      <w:tr w:rsidR="00FC3E96" w14:paraId="373B08E0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1A9B96B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IDENTIFICACIÓN DEL PROYECTO</w:t>
            </w:r>
          </w:p>
        </w:tc>
      </w:tr>
      <w:tr w:rsidR="00FC3E96" w14:paraId="1AD6DA16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6ED04C65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Título del proyecto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80FA26C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Debe coincidir con la ficha de inscripción</w:t>
            </w:r>
          </w:p>
        </w:tc>
      </w:tr>
      <w:tr w:rsidR="00FC3E96" w14:paraId="3EA9EAA4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3F793118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Equipo / estudio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275D3AEA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Debe coincidir con la ficha de inscripción</w:t>
            </w:r>
          </w:p>
        </w:tc>
      </w:tr>
      <w:tr w:rsidR="00FC3E96" w14:paraId="3F08C4D2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79B61EF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1.  DESCRIPCIÓN DEL PROYECTO</w:t>
            </w:r>
          </w:p>
        </w:tc>
      </w:tr>
      <w:tr w:rsidR="00FC3E96" w14:paraId="37D5A85B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4E739291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Descripción general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2CA9C31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el proyecto: contexto, programa, reto arquitectónico y solución adoptada (máx. 300 palabras)</w:t>
            </w:r>
          </w:p>
          <w:p w14:paraId="71D6E3A2" w14:textId="77777777" w:rsidR="00FC3E96" w:rsidRDefault="00FC3E96"/>
          <w:p w14:paraId="5BE7A3E7" w14:textId="77777777" w:rsidR="00FC3E96" w:rsidRDefault="00FC3E96"/>
          <w:p w14:paraId="6087BE0A" w14:textId="77777777" w:rsidR="00FC3E96" w:rsidRDefault="00FC3E96"/>
          <w:p w14:paraId="52927FC4" w14:textId="77777777" w:rsidR="00FC3E96" w:rsidRDefault="00FC3E96"/>
          <w:p w14:paraId="593C5EE3" w14:textId="77777777" w:rsidR="00FC3E96" w:rsidRDefault="00FC3E96"/>
          <w:p w14:paraId="7C111EC0" w14:textId="77777777" w:rsidR="00FC3E96" w:rsidRDefault="00FC3E96"/>
        </w:tc>
      </w:tr>
      <w:tr w:rsidR="00FC3E96" w14:paraId="4E66B892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AA88799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2.  SISTEMA CONSTRUCTIVO E INDUSTRIALIZACIÓN</w:t>
            </w:r>
          </w:p>
        </w:tc>
      </w:tr>
      <w:tr w:rsidR="00FC3E96" w14:paraId="35AD4E91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55C39786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Formato de prefabricación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4B98CB64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Prefabricado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1D (kit-</w:t>
            </w:r>
            <w:proofErr w:type="spellStart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of</w:t>
            </w:r>
            <w:proofErr w:type="spell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-</w:t>
            </w:r>
            <w:proofErr w:type="spellStart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parts</w:t>
            </w:r>
            <w:proofErr w:type="spell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)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Prefabricado 2D (</w:t>
            </w:r>
            <w:proofErr w:type="spellStart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panelizado</w:t>
            </w:r>
            <w:proofErr w:type="spell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)</w:t>
            </w:r>
          </w:p>
          <w:p w14:paraId="3FBFA1C1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Prefabricado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3D (modular volumétrico)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Sistemas hibridados</w:t>
            </w:r>
          </w:p>
        </w:tc>
      </w:tr>
      <w:tr w:rsidR="00FC3E96" w14:paraId="6E792A03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54ABE844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Sistema en madera principal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61FA5F81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Entramado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ligero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 masivo (CLT u otros)</w:t>
            </w:r>
          </w:p>
          <w:p w14:paraId="5D2EB9CB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de pórticos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Sistemas combinados de madera</w:t>
            </w:r>
          </w:p>
          <w:p w14:paraId="649A8A18" w14:textId="77777777" w:rsidR="00FC3E96" w:rsidRDefault="00000000">
            <w:pPr>
              <w:spacing w:before="40" w:after="40"/>
              <w:rPr>
                <w:rFonts w:ascii="Calibri" w:eastAsia="Calibri" w:hAnsi="Calibri" w:cs="Calibri"/>
                <w:color w:val="1A1A1A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mixtos (madera + otros materiales)          </w:t>
            </w:r>
          </w:p>
          <w:p w14:paraId="17B0A365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Otros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: _________________________________________________________</w:t>
            </w:r>
          </w:p>
        </w:tc>
      </w:tr>
      <w:tr w:rsidR="00FC3E96" w14:paraId="4C6F68BD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394DAA81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Sistema constructivo estructural general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7392E29D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Madera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Hormigón-Madera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Acero-Madera</w:t>
            </w:r>
          </w:p>
          <w:p w14:paraId="650C9360" w14:textId="77777777" w:rsidR="00FC3E96" w:rsidRDefault="00000000">
            <w:pPr>
              <w:spacing w:before="40" w:after="40"/>
              <w:rPr>
                <w:rFonts w:ascii="Calibri" w:eastAsia="Calibri" w:hAnsi="Calibri" w:cs="Calibri"/>
                <w:color w:val="1A1A1A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Hormigón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-Acero-Madera          </w:t>
            </w:r>
          </w:p>
          <w:p w14:paraId="2E7EAAE9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Otros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: _________________________________________________________</w:t>
            </w:r>
          </w:p>
        </w:tc>
      </w:tr>
      <w:tr w:rsidR="00FC3E96" w14:paraId="41BB867A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6911E80F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Descripción del sistema industrializado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F0079A3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Explica el sistema prefabricado: proceso de fabricación off-site, ensamblaje en obra y ventajas respecto a la construcción convencional</w:t>
            </w:r>
          </w:p>
          <w:p w14:paraId="00475B87" w14:textId="77777777" w:rsidR="00FC3E96" w:rsidRDefault="00FC3E96"/>
          <w:p w14:paraId="4C8F0084" w14:textId="77777777" w:rsidR="00FC3E96" w:rsidRDefault="00FC3E96"/>
          <w:p w14:paraId="2513A3D2" w14:textId="77777777" w:rsidR="00FC3E96" w:rsidRDefault="00FC3E96"/>
          <w:p w14:paraId="7D80654F" w14:textId="77777777" w:rsidR="00FC3E96" w:rsidRDefault="00FC3E96"/>
        </w:tc>
      </w:tr>
      <w:tr w:rsidR="00FC3E96" w14:paraId="39BE6743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5222DD0C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 xml:space="preserve">% de prefabricación off-site 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>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1E86F053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(componentes producidos fuera de obra / componentes totales) × 100</w:t>
            </w:r>
          </w:p>
        </w:tc>
      </w:tr>
      <w:tr w:rsidR="00FC3E96" w14:paraId="163172A4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88C3747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3.  BIOMATERIALES Y MATERIALES</w:t>
            </w:r>
          </w:p>
        </w:tc>
      </w:tr>
      <w:tr w:rsidR="00FC3E96" w14:paraId="0310CA0A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0207BAE0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Biomateriales principales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7D98C6D0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Madera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estructural maciza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EWP (Dúos, tríos, MLE, CLT, LVL, etc.)</w:t>
            </w:r>
          </w:p>
          <w:p w14:paraId="6910168B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Bambú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Fibras vegetales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Fibras animales</w:t>
            </w:r>
          </w:p>
          <w:p w14:paraId="293DC284" w14:textId="77777777" w:rsidR="00FC3E96" w:rsidRDefault="00000000">
            <w:pPr>
              <w:spacing w:before="40" w:after="40"/>
              <w:rPr>
                <w:rFonts w:ascii="Calibri" w:eastAsia="Calibri" w:hAnsi="Calibri" w:cs="Calibri"/>
                <w:color w:val="1A1A1A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proofErr w:type="spellStart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Biocompuestos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         </w:t>
            </w:r>
          </w:p>
          <w:p w14:paraId="415C0AA2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Otros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: _________________________________________________________</w:t>
            </w:r>
          </w:p>
        </w:tc>
      </w:tr>
      <w:tr w:rsidR="00FC3E96" w14:paraId="5B1098EA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3623854D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lastRenderedPageBreak/>
              <w:t>Descripción de biomateriales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0BBDA023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Indica tipo de biomaterial, función constructiva y porcentaje aproximado en masa de cada uno</w:t>
            </w:r>
          </w:p>
          <w:p w14:paraId="04B51BEF" w14:textId="77777777" w:rsidR="00FC3E96" w:rsidRDefault="00FC3E96"/>
          <w:p w14:paraId="32FD62A9" w14:textId="77777777" w:rsidR="00FC3E96" w:rsidRDefault="00FC3E96"/>
          <w:p w14:paraId="3DBEC822" w14:textId="77777777" w:rsidR="00FC3E96" w:rsidRDefault="00FC3E96"/>
        </w:tc>
      </w:tr>
      <w:tr w:rsidR="00FC3E96" w14:paraId="4048331C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26C73DAC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% estimado de biomateriales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495C235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(volumen biomateriales / volumen total materiales) × 100</w:t>
            </w:r>
          </w:p>
        </w:tc>
      </w:tr>
      <w:tr w:rsidR="00FC3E96" w14:paraId="2172D2AE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2CDD9A6E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Productos de madera estructural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4C7A3EF5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Madera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estructural maciza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Madera maciza encolada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KVH</w:t>
            </w:r>
          </w:p>
          <w:p w14:paraId="08CE2469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Madera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laminada encolada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CLT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LVL (madera </w:t>
            </w:r>
            <w:proofErr w:type="spellStart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microlaminada</w:t>
            </w:r>
            <w:proofErr w:type="spell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)</w:t>
            </w:r>
          </w:p>
          <w:p w14:paraId="675776BB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Viga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I-</w:t>
            </w:r>
            <w:proofErr w:type="spellStart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Joist</w:t>
            </w:r>
            <w:proofErr w:type="spell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Otros: __________________________________________</w:t>
            </w:r>
          </w:p>
        </w:tc>
      </w:tr>
      <w:tr w:rsidR="00FC3E96" w14:paraId="7E669F5E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4D092285" w14:textId="77777777" w:rsidR="00FC3E96" w:rsidRDefault="00000000">
            <w:proofErr w:type="spellStart"/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Geomateriales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 xml:space="preserve"> naturales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727E22D4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Tierra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cruda / tapial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Adobe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Arcillas / morteros naturales</w:t>
            </w:r>
          </w:p>
          <w:p w14:paraId="6C0B0909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Revocos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naturales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No aplica</w:t>
            </w:r>
          </w:p>
        </w:tc>
      </w:tr>
      <w:tr w:rsidR="00FC3E96" w14:paraId="1CB3D17A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41FCD827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 xml:space="preserve">Descripción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geomateriales</w:t>
            </w:r>
            <w:proofErr w:type="spellEnd"/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1BFD2584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Si se han utilizado, indica tipo, función constructiva y porcentaje aproximado</w:t>
            </w:r>
          </w:p>
          <w:p w14:paraId="5994E828" w14:textId="77777777" w:rsidR="00FC3E96" w:rsidRDefault="00FC3E96"/>
          <w:p w14:paraId="409B3101" w14:textId="77777777" w:rsidR="00FC3E96" w:rsidRDefault="00FC3E96"/>
        </w:tc>
      </w:tr>
      <w:tr w:rsidR="00FC3E96" w14:paraId="48F9A278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3977EE31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4.  IMPACTO CLIMÁTICO Y CARBONO</w:t>
            </w:r>
          </w:p>
        </w:tc>
      </w:tr>
      <w:tr w:rsidR="00FC3E96" w14:paraId="46A003D0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2BDAB92D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Disponibilidad de ACV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00FEB630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ACV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completo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Estimación simplificada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No disponible</w:t>
            </w:r>
          </w:p>
        </w:tc>
      </w:tr>
      <w:tr w:rsidR="00FC3E96" w14:paraId="41BDA8D1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03BF1B22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Carbono incorporado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embodied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 xml:space="preserve"> C)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55809AC0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 xml:space="preserve">kg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CO₂eq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 xml:space="preserve"> / m² de superficie construida</w:t>
            </w:r>
          </w:p>
        </w:tc>
      </w:tr>
      <w:tr w:rsidR="00FC3E96" w14:paraId="4A7D2A68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24023770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Carbono biogénico almacenado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0415918B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kg CO₂ almacenado / m² de edificio</w:t>
            </w:r>
          </w:p>
        </w:tc>
      </w:tr>
      <w:tr w:rsidR="00FC3E96" w14:paraId="5406AEC8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3ED0B85D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Estrategia de reducción de impacto climático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83DA6CB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las principales medidas adoptadas para reducir el carbono incorporado y el impacto ambiental del proyecto</w:t>
            </w:r>
          </w:p>
          <w:p w14:paraId="20349FE0" w14:textId="77777777" w:rsidR="00FC3E96" w:rsidRDefault="00FC3E96"/>
          <w:p w14:paraId="1DE61DF5" w14:textId="77777777" w:rsidR="00FC3E96" w:rsidRDefault="00FC3E96"/>
          <w:p w14:paraId="201801B8" w14:textId="77777777" w:rsidR="00FC3E96" w:rsidRDefault="00FC3E96"/>
        </w:tc>
      </w:tr>
      <w:tr w:rsidR="00FC3E96" w14:paraId="11E19B88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F6C1EAD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5.  CIRCULARIDAD Y DESMONTABILIDAD</w:t>
            </w:r>
          </w:p>
        </w:tc>
      </w:tr>
      <w:tr w:rsidR="00FC3E96" w14:paraId="062C72E4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17186B3A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 xml:space="preserve">Nivel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desmontabilidad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1ED65A1A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totalmente desmontable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Componentes principales desmontables</w:t>
            </w:r>
          </w:p>
          <w:p w14:paraId="204B5C9B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Algunos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elementos desmontables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Sistema no desmontable</w:t>
            </w:r>
          </w:p>
        </w:tc>
      </w:tr>
      <w:tr w:rsidR="00FC3E96" w14:paraId="58B7F874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72403A5D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Tipo de uniones predominantes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80" w:type="dxa"/>
              <w:left w:w="180" w:type="dxa"/>
              <w:bottom w:w="80" w:type="dxa"/>
              <w:right w:w="180" w:type="dxa"/>
            </w:tcMar>
          </w:tcPr>
          <w:p w14:paraId="250C0210" w14:textId="77777777" w:rsidR="00FC3E96" w:rsidRDefault="00000000">
            <w:pPr>
              <w:spacing w:before="40" w:after="40"/>
            </w:pPr>
            <w:proofErr w:type="gramStart"/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Reversibles</w:t>
            </w:r>
            <w:proofErr w:type="gramEnd"/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 (mecánicas)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 xml:space="preserve">Permanentes (encoladas)          </w:t>
            </w:r>
            <w:r>
              <w:rPr>
                <w:rFonts w:ascii="Calibri" w:eastAsia="Calibri" w:hAnsi="Calibri" w:cs="Calibri"/>
                <w:color w:val="4A9E5C"/>
                <w:sz w:val="18"/>
                <w:szCs w:val="18"/>
              </w:rPr>
              <w:t xml:space="preserve">□  </w:t>
            </w:r>
            <w:r>
              <w:rPr>
                <w:rFonts w:ascii="Calibri" w:eastAsia="Calibri" w:hAnsi="Calibri" w:cs="Calibri"/>
                <w:color w:val="1A1A1A"/>
                <w:sz w:val="18"/>
                <w:szCs w:val="18"/>
              </w:rPr>
              <w:t>Mixtas</w:t>
            </w:r>
          </w:p>
        </w:tc>
      </w:tr>
      <w:tr w:rsidR="00FC3E96" w14:paraId="30AF909E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24C34F69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% estimado de componentes reutilizables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73CA3DBE" w14:textId="77777777" w:rsidR="00FC3E96" w:rsidRDefault="00FC3E96"/>
        </w:tc>
      </w:tr>
      <w:tr w:rsidR="00FC3E96" w14:paraId="24DE9B9D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5A4BDB22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Estrategia de fin de vida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2B228A1C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qué ocurre con los materiales y componentes al final de la vida útil del edificio: reutilización, reciclaje, compostaje, etc.</w:t>
            </w:r>
          </w:p>
          <w:p w14:paraId="67191715" w14:textId="77777777" w:rsidR="00FC3E96" w:rsidRDefault="00FC3E96"/>
          <w:p w14:paraId="48976256" w14:textId="77777777" w:rsidR="00FC3E96" w:rsidRDefault="00FC3E96"/>
          <w:p w14:paraId="72A451AF" w14:textId="77777777" w:rsidR="00FC3E96" w:rsidRDefault="00FC3E96"/>
        </w:tc>
      </w:tr>
      <w:tr w:rsidR="00FC3E96" w14:paraId="4C498827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0B04A563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6.  EFICIENCIA CONSTRUCTIVA</w:t>
            </w:r>
          </w:p>
        </w:tc>
      </w:tr>
      <w:tr w:rsidR="00FC3E96" w14:paraId="4DF53CEA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3BF91B0E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Tiempo de prefabricación (días)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5E8FCE96" w14:textId="77777777" w:rsidR="00FC3E96" w:rsidRDefault="00FC3E96"/>
        </w:tc>
      </w:tr>
      <w:tr w:rsidR="00FC3E96" w14:paraId="7706298B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542EB07A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Tiempo de montaje estructural (días)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1E351F80" w14:textId="77777777" w:rsidR="00FC3E96" w:rsidRDefault="00FC3E96"/>
        </w:tc>
      </w:tr>
      <w:tr w:rsidR="00FC3E96" w14:paraId="716F40B8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  <w:vAlign w:val="center"/>
          </w:tcPr>
          <w:p w14:paraId="4274B49A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Tiempo total de ejecución (días/m²)</w:t>
            </w:r>
            <w:r>
              <w:rPr>
                <w:rFonts w:ascii="Calibri" w:eastAsia="Calibri" w:hAnsi="Calibri" w:cs="Calibri"/>
                <w:b/>
                <w:bCs/>
                <w:color w:val="4A9E5C"/>
                <w:sz w:val="18"/>
                <w:szCs w:val="18"/>
              </w:rPr>
              <w:t xml:space="preserve"> *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12416292" w14:textId="77777777" w:rsidR="00FC3E96" w:rsidRDefault="00FC3E96"/>
        </w:tc>
      </w:tr>
      <w:tr w:rsidR="00FC3E96" w14:paraId="6588C7AC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5412D033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Estrategias de reducción de residuos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70CA0A05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las medidas adoptadas para minimizar residuos durante la prefabricación y el montaje</w:t>
            </w:r>
          </w:p>
          <w:p w14:paraId="11EF4553" w14:textId="77777777" w:rsidR="00FC3E96" w:rsidRDefault="00FC3E96"/>
          <w:p w14:paraId="23433D06" w14:textId="77777777" w:rsidR="00FC3E96" w:rsidRDefault="00FC3E96"/>
        </w:tc>
      </w:tr>
      <w:tr w:rsidR="00FC3E96" w14:paraId="65B12174" w14:textId="77777777"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D5C2E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B61100A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FFFFFF"/>
              </w:rPr>
              <w:t>7.  INCLUSIÓN Y AFECCIÓN SOCIAL POSITIVA</w:t>
            </w:r>
          </w:p>
        </w:tc>
      </w:tr>
      <w:tr w:rsidR="00FC3E96" w14:paraId="30652F94" w14:textId="77777777">
        <w:tc>
          <w:tcPr>
            <w:tcW w:w="9638" w:type="dxa"/>
            <w:gridSpan w:val="2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2FAF4"/>
            <w:tcMar>
              <w:top w:w="80" w:type="dxa"/>
              <w:left w:w="200" w:type="dxa"/>
              <w:bottom w:w="80" w:type="dxa"/>
              <w:right w:w="200" w:type="dxa"/>
            </w:tcMar>
          </w:tcPr>
          <w:p w14:paraId="575D4677" w14:textId="77777777" w:rsidR="00FC3E96" w:rsidRDefault="00000000">
            <w:r>
              <w:rPr>
                <w:rFonts w:ascii="Calibri" w:eastAsia="Calibri" w:hAnsi="Calibri" w:cs="Calibri"/>
                <w:i/>
                <w:iCs/>
                <w:color w:val="5A5A5A"/>
                <w:sz w:val="17"/>
                <w:szCs w:val="17"/>
              </w:rPr>
              <w:t>Este apartado es de especial relevancia para el concurso. Se valorará el impacto del proyecto en la comunidad, en la cadena de valor de los materiales y su efecto didáctico en el entorno social.</w:t>
            </w:r>
          </w:p>
        </w:tc>
      </w:tr>
      <w:tr w:rsidR="00FC3E96" w14:paraId="60A04617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34DF0D45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Impacto en la comunidad de implantación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C0CD500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cómo el proyecto ha contribuido a mejorar la calidad de vida, la accesibilidad o la cohesión social del entorno</w:t>
            </w:r>
          </w:p>
          <w:p w14:paraId="43543F09" w14:textId="77777777" w:rsidR="00FC3E96" w:rsidRDefault="00FC3E96"/>
          <w:p w14:paraId="1203149D" w14:textId="77777777" w:rsidR="00FC3E96" w:rsidRDefault="00FC3E96"/>
          <w:p w14:paraId="1B3A846F" w14:textId="77777777" w:rsidR="00FC3E96" w:rsidRDefault="00FC3E96"/>
          <w:p w14:paraId="2EF74F0C" w14:textId="77777777" w:rsidR="00FC3E96" w:rsidRDefault="00FC3E96"/>
        </w:tc>
      </w:tr>
      <w:tr w:rsidR="00FC3E96" w14:paraId="4FC58ACE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7FADCC2C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Inclusión en la cadena de valor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497EC2CC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si el proyecto ha promovido empleo local, ha integrado grupos desfavorecidos o ha generado impactos positivos en los agentes de la cadena de valor de los materiales</w:t>
            </w:r>
          </w:p>
          <w:p w14:paraId="1F03EE0B" w14:textId="77777777" w:rsidR="00FC3E96" w:rsidRDefault="00FC3E96"/>
          <w:p w14:paraId="74CFDEFB" w14:textId="77777777" w:rsidR="00FC3E96" w:rsidRDefault="00FC3E96"/>
          <w:p w14:paraId="65AA2BDB" w14:textId="77777777" w:rsidR="00FC3E96" w:rsidRDefault="00FC3E96"/>
          <w:p w14:paraId="4C616752" w14:textId="77777777" w:rsidR="00FC3E96" w:rsidRDefault="00FC3E96"/>
        </w:tc>
      </w:tr>
      <w:tr w:rsidR="00FC3E96" w14:paraId="01891C8A" w14:textId="77777777">
        <w:tc>
          <w:tcPr>
            <w:tcW w:w="3400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EBF5ED"/>
            <w:tcMar>
              <w:top w:w="100" w:type="dxa"/>
              <w:left w:w="180" w:type="dxa"/>
              <w:bottom w:w="100" w:type="dxa"/>
              <w:right w:w="100" w:type="dxa"/>
            </w:tcMar>
          </w:tcPr>
          <w:p w14:paraId="686AEEC1" w14:textId="77777777" w:rsidR="00FC3E96" w:rsidRDefault="00000000">
            <w:r>
              <w:rPr>
                <w:rFonts w:ascii="Calibri" w:eastAsia="Calibri" w:hAnsi="Calibri" w:cs="Calibri"/>
                <w:b/>
                <w:bCs/>
                <w:color w:val="1D5C2E"/>
                <w:sz w:val="18"/>
                <w:szCs w:val="18"/>
              </w:rPr>
              <w:t>Efecto didáctico y divulgativo</w:t>
            </w:r>
          </w:p>
        </w:tc>
        <w:tc>
          <w:tcPr>
            <w:tcW w:w="6238" w:type="dxa"/>
            <w:tcBorders>
              <w:top w:val="single" w:sz="4" w:space="0" w:color="B0CEB8"/>
              <w:left w:val="single" w:sz="4" w:space="0" w:color="B0CEB8"/>
              <w:bottom w:val="single" w:sz="4" w:space="0" w:color="B0CEB8"/>
              <w:right w:val="single" w:sz="4" w:space="0" w:color="B0CEB8"/>
            </w:tcBorders>
            <w:shd w:val="clear" w:color="auto" w:fill="FFFFFF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9564DDC" w14:textId="77777777" w:rsidR="00FC3E96" w:rsidRDefault="00000000">
            <w:pPr>
              <w:spacing w:after="60"/>
            </w:pPr>
            <w:r>
              <w:rPr>
                <w:rFonts w:ascii="Calibri" w:eastAsia="Calibri" w:hAnsi="Calibri" w:cs="Calibri"/>
                <w:i/>
                <w:iCs/>
                <w:color w:val="AAAAAA"/>
                <w:sz w:val="17"/>
                <w:szCs w:val="17"/>
              </w:rPr>
              <w:t>Describe si el proyecto ha tenido un efecto ejemplarizante o formativo en su entorno, contribuyendo a visibilizar la construcción sostenible industrializada</w:t>
            </w:r>
          </w:p>
          <w:p w14:paraId="2EF5D268" w14:textId="77777777" w:rsidR="00FC3E96" w:rsidRDefault="00FC3E96"/>
          <w:p w14:paraId="27959F52" w14:textId="77777777" w:rsidR="00FC3E96" w:rsidRDefault="00FC3E96"/>
          <w:p w14:paraId="320DE7D4" w14:textId="77777777" w:rsidR="00FC3E96" w:rsidRDefault="00FC3E96"/>
          <w:p w14:paraId="5A837E17" w14:textId="77777777" w:rsidR="00FC3E96" w:rsidRDefault="00FC3E96"/>
        </w:tc>
      </w:tr>
    </w:tbl>
    <w:p w14:paraId="041887FE" w14:textId="77777777" w:rsidR="00FC3E96" w:rsidRDefault="00FC3E96">
      <w:pPr>
        <w:spacing w:before="160"/>
      </w:pPr>
      <w:bookmarkStart w:id="0" w:name="_heading=h.al5f1m74he65" w:colFirst="0" w:colLast="0"/>
      <w:bookmarkEnd w:id="0"/>
    </w:p>
    <w:sectPr w:rsidR="00FC3E96">
      <w:headerReference w:type="default" r:id="rId7"/>
      <w:footerReference w:type="default" r:id="rId8"/>
      <w:pgSz w:w="11906" w:h="16838"/>
      <w:pgMar w:top="1134" w:right="1134" w:bottom="1134" w:left="1134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78E74" w14:textId="77777777" w:rsidR="002E0DC8" w:rsidRDefault="002E0DC8">
      <w:r>
        <w:separator/>
      </w:r>
    </w:p>
  </w:endnote>
  <w:endnote w:type="continuationSeparator" w:id="0">
    <w:p w14:paraId="3E242A45" w14:textId="77777777" w:rsidR="002E0DC8" w:rsidRDefault="002E0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68838B-6717-4D39-AAB9-062481008F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BEE07F-9192-4D70-BA90-1A3045BBCFBB}"/>
    <w:embedBold r:id="rId3" w:fontKey="{A60AFBAF-897F-4DC0-9703-4D6111287AA1}"/>
    <w:embedItalic r:id="rId4" w:fontKey="{264C4932-7884-4343-9418-019092B14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0D9D80-CBA6-4ECC-99BE-60B16E9AB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638CB" w14:textId="70F5EA63" w:rsidR="00FC3E96" w:rsidRDefault="008C532D">
    <w:pPr>
      <w:pBdr>
        <w:top w:val="single" w:sz="4" w:space="4" w:color="4A9E5C"/>
      </w:pBdr>
      <w:tabs>
        <w:tab w:val="right" w:pos="9026"/>
      </w:tabs>
      <w:spacing w:before="80"/>
    </w:pPr>
    <w:r>
      <w:rPr>
        <w:rFonts w:ascii="Calibri" w:eastAsia="Calibri" w:hAnsi="Calibri" w:cs="Calibri"/>
        <w:noProof/>
        <w:color w:val="AAAAAA"/>
        <w:sz w:val="14"/>
        <w:szCs w:val="14"/>
      </w:rPr>
      <w:drawing>
        <wp:inline distT="0" distB="0" distL="0" distR="0" wp14:anchorId="49463A4C" wp14:editId="17AA07B2">
          <wp:extent cx="6114415" cy="963295"/>
          <wp:effectExtent l="0" t="0" r="635" b="8255"/>
          <wp:docPr id="13772785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ascii="Calibri" w:eastAsia="Calibri" w:hAnsi="Calibri" w:cs="Calibri"/>
        <w:color w:val="AAAAAA"/>
        <w:sz w:val="14"/>
        <w:szCs w:val="14"/>
      </w:rPr>
      <w:t>I Premio de Arquitectura Prefabricada Industrializada con Biomateriales</w:t>
    </w:r>
    <w:r w:rsidR="00000000">
      <w:rPr>
        <w:rFonts w:ascii="Calibri" w:eastAsia="Calibri" w:hAnsi="Calibri" w:cs="Calibri"/>
        <w:color w:val="AAAAAA"/>
        <w:sz w:val="14"/>
        <w:szCs w:val="14"/>
      </w:rPr>
      <w:tab/>
      <w:t xml:space="preserve">Página </w:t>
    </w:r>
    <w:r w:rsidR="00000000">
      <w:rPr>
        <w:rFonts w:ascii="Calibri" w:eastAsia="Calibri" w:hAnsi="Calibri" w:cs="Calibri"/>
        <w:color w:val="AAAAAA"/>
        <w:sz w:val="14"/>
        <w:szCs w:val="14"/>
      </w:rPr>
      <w:fldChar w:fldCharType="begin"/>
    </w:r>
    <w:r w:rsidR="00000000">
      <w:rPr>
        <w:rFonts w:ascii="Calibri" w:eastAsia="Calibri" w:hAnsi="Calibri" w:cs="Calibri"/>
        <w:color w:val="AAAAAA"/>
        <w:sz w:val="14"/>
        <w:szCs w:val="14"/>
      </w:rPr>
      <w:instrText>PAGE</w:instrText>
    </w:r>
    <w:r w:rsidR="00000000">
      <w:rPr>
        <w:rFonts w:ascii="Calibri" w:eastAsia="Calibri" w:hAnsi="Calibri" w:cs="Calibri"/>
        <w:color w:val="AAAAAA"/>
        <w:sz w:val="14"/>
        <w:szCs w:val="14"/>
      </w:rPr>
      <w:fldChar w:fldCharType="separate"/>
    </w:r>
    <w:r>
      <w:rPr>
        <w:rFonts w:ascii="Calibri" w:eastAsia="Calibri" w:hAnsi="Calibri" w:cs="Calibri"/>
        <w:noProof/>
        <w:color w:val="AAAAAA"/>
        <w:sz w:val="14"/>
        <w:szCs w:val="14"/>
      </w:rPr>
      <w:t>1</w:t>
    </w:r>
    <w:r w:rsidR="00000000">
      <w:rPr>
        <w:rFonts w:ascii="Calibri" w:eastAsia="Calibri" w:hAnsi="Calibri" w:cs="Calibri"/>
        <w:color w:val="AAAAA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FD220" w14:textId="77777777" w:rsidR="002E0DC8" w:rsidRDefault="002E0DC8">
      <w:r>
        <w:separator/>
      </w:r>
    </w:p>
  </w:footnote>
  <w:footnote w:type="continuationSeparator" w:id="0">
    <w:p w14:paraId="6CC5887F" w14:textId="77777777" w:rsidR="002E0DC8" w:rsidRDefault="002E0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84200" w14:textId="45108931" w:rsidR="00FC3E96" w:rsidRDefault="00FC3E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E96"/>
    <w:rsid w:val="002E0DC8"/>
    <w:rsid w:val="008C532D"/>
    <w:rsid w:val="00EA4E61"/>
    <w:rsid w:val="00FC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76C1B"/>
  <w15:docId w15:val="{3A5CE1F6-695F-4871-8758-230831C6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C532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32D"/>
  </w:style>
  <w:style w:type="paragraph" w:styleId="Piedepgina">
    <w:name w:val="footer"/>
    <w:basedOn w:val="Normal"/>
    <w:link w:val="PiedepginaCar"/>
    <w:uiPriority w:val="99"/>
    <w:unhideWhenUsed/>
    <w:rsid w:val="008C532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uOS6x9I31UV4ps90tSobcGdvQ==">CgMxLjAyDmguYWw1ZjFtNzRoZTY1OAByITFocDBiaHFYVlplVFhlTV9GNGFVZlFDVjZlRUl1U1JuTw==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704</Words>
  <Characters>3873</Characters>
  <Application>Microsoft Office Word</Application>
  <DocSecurity>0</DocSecurity>
  <Lines>32</Lines>
  <Paragraphs>9</Paragraphs>
  <ScaleCrop>false</ScaleCrop>
  <Company>HP Inc.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Ruiz de Pablo</cp:lastModifiedBy>
  <cp:revision>3</cp:revision>
  <dcterms:created xsi:type="dcterms:W3CDTF">2026-04-22T14:05:00Z</dcterms:created>
  <dcterms:modified xsi:type="dcterms:W3CDTF">2026-04-22T14:05:00Z</dcterms:modified>
</cp:coreProperties>
</file>